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3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КОДЕКС ЭТИКИ ОБЩЕСТВЕННОГО НАБЛЮДАТЕЛЯ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jc w:val="center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ОБЩИЕ ПОЛОЖЕНИЯ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39"/>
        <w:jc w:val="center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Настоящий Кодекс </w:t>
      </w:r>
      <w:r>
        <w:rPr>
          <w:rFonts w:ascii="Times New Roman" w:hAnsi="Times New Roman"/>
          <w:sz w:val="28"/>
          <w:szCs w:val="28"/>
        </w:rPr>
        <w:t xml:space="preserve">этики общественного наблюдателя (далее – Кодекс) </w:t>
      </w:r>
      <w:r>
        <w:rPr>
          <w:rFonts w:ascii="Times New Roman" w:hAnsi="Times New Roman"/>
          <w:sz w:val="28"/>
          <w:szCs w:val="28"/>
        </w:rPr>
        <w:t xml:space="preserve">разработан в соответствии с Конституцией Российской Федерации, Федеральным законом от 12 июня 2002 г. № 67-</w:t>
      </w:r>
      <w:r>
        <w:rPr>
          <w:rFonts w:ascii="Times New Roman" w:hAnsi="Times New Roman"/>
          <w:sz w:val="28"/>
          <w:szCs w:val="28"/>
        </w:rPr>
        <w:t xml:space="preserve">ФЗ «Об основных гарантиях избирательных прав и права на участие в референдуме граждан Российской Федерации», иными федеральными законами, регулирующими проведение выборов и референдумов, а также нормативными актами Общественной палаты Российской Федерации.</w:t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Статья 1.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Кодекс устанавливает обязательные для каждого общественного наблюдателя (далее – наблюдатель) правила поведения при осуществлении им полномочий по наблюдению за выборами и/или референдум</w:t>
      </w:r>
      <w:r>
        <w:rPr>
          <w:rFonts w:ascii="Times New Roman" w:hAnsi="Times New Roman"/>
          <w:sz w:val="28"/>
          <w:szCs w:val="28"/>
        </w:rPr>
        <w:t xml:space="preserve">ами</w:t>
      </w:r>
      <w:r>
        <w:rPr>
          <w:rFonts w:ascii="Times New Roman" w:hAnsi="Times New Roman"/>
          <w:sz w:val="28"/>
          <w:szCs w:val="28"/>
        </w:rPr>
        <w:t xml:space="preserve">, основанные на морально-нравственных нормах, принципах законности, беспристрастности и уважения избирательны</w:t>
      </w:r>
      <w:r>
        <w:rPr>
          <w:rFonts w:ascii="Times New Roman" w:hAnsi="Times New Roman"/>
          <w:sz w:val="28"/>
          <w:szCs w:val="28"/>
        </w:rPr>
        <w:t xml:space="preserve">х прав</w:t>
      </w:r>
      <w:r>
        <w:rPr>
          <w:rFonts w:ascii="Times New Roman" w:hAnsi="Times New Roman"/>
          <w:sz w:val="28"/>
          <w:szCs w:val="28"/>
        </w:rPr>
        <w:t xml:space="preserve"> граждан.</w:t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Статья 2.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Кодекс призван повысить эффективность общественного контроля, укрепить доверие к избирательному процессу и обеспечить высокую репутацию института общественного наблюдения в Российской Федерации.</w:t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jc w:val="center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НОРМЫ ПОВЕДЕНИЯ ОБЩЕСТВЕННОГО НАБЛЮДАТЕЛЯ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39"/>
        <w:jc w:val="center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Статья 3.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Наблюдатель при осуществлении своих функций обязан соблюдать Конституцию Р</w:t>
      </w:r>
      <w:r>
        <w:rPr>
          <w:rFonts w:ascii="Times New Roman" w:hAnsi="Times New Roman"/>
          <w:sz w:val="28"/>
          <w:szCs w:val="28"/>
        </w:rPr>
        <w:t xml:space="preserve">оссийской Федерации</w:t>
      </w:r>
      <w:r>
        <w:rPr>
          <w:rFonts w:ascii="Times New Roman" w:hAnsi="Times New Roman"/>
          <w:sz w:val="28"/>
          <w:szCs w:val="28"/>
        </w:rPr>
        <w:t xml:space="preserve">, законодательство о выборах и </w:t>
      </w:r>
      <w:r>
        <w:rPr>
          <w:rFonts w:ascii="Times New Roman" w:hAnsi="Times New Roman"/>
          <w:sz w:val="28"/>
          <w:szCs w:val="28"/>
        </w:rPr>
        <w:t xml:space="preserve">референдумах </w:t>
      </w:r>
      <w:r>
        <w:rPr>
          <w:rFonts w:ascii="Times New Roman" w:hAnsi="Times New Roman"/>
          <w:sz w:val="28"/>
          <w:szCs w:val="28"/>
        </w:rPr>
        <w:t xml:space="preserve">и настоящий Кодекс, руководствоваться общепризнанными принципами морали и этики.</w:t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Статья 4.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Наблюдатель при исполнении возложенных на него обязанностей должен:</w:t>
      </w:r>
      <w:r>
        <w:rPr>
          <w:rFonts w:ascii="Times New Roman" w:hAnsi="Times New Roman"/>
          <w:sz w:val="28"/>
          <w:szCs w:val="28"/>
        </w:rPr>
      </w:r>
    </w:p>
    <w:p>
      <w:pPr>
        <w:pStyle w:val="643"/>
        <w:numPr>
          <w:ilvl w:val="0"/>
          <w:numId w:val="2"/>
        </w:numPr>
        <w:contextualSpacing w:val="0"/>
        <w:ind w:left="0"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Строго соблюдать избирательное законодательство, не допускать его нарушений и способствовать недопущению </w:t>
      </w:r>
      <w:r>
        <w:rPr>
          <w:rFonts w:ascii="Times New Roman" w:hAnsi="Times New Roman"/>
          <w:sz w:val="28"/>
          <w:szCs w:val="28"/>
        </w:rPr>
        <w:t xml:space="preserve">их </w:t>
      </w:r>
      <w:r>
        <w:rPr>
          <w:rFonts w:ascii="Times New Roman" w:hAnsi="Times New Roman"/>
          <w:sz w:val="28"/>
          <w:szCs w:val="28"/>
        </w:rPr>
        <w:t xml:space="preserve">со стороны иных участников процесса.</w:t>
      </w:r>
      <w:r>
        <w:rPr>
          <w:rFonts w:ascii="Times New Roman" w:hAnsi="Times New Roman"/>
          <w:sz w:val="28"/>
          <w:szCs w:val="28"/>
        </w:rPr>
      </w:r>
    </w:p>
    <w:p>
      <w:pPr>
        <w:pStyle w:val="643"/>
        <w:numPr>
          <w:ilvl w:val="0"/>
          <w:numId w:val="2"/>
        </w:numPr>
        <w:contextualSpacing w:val="0"/>
        <w:ind w:left="0"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Сохранять политическую нейтральность и беспристрастность, воздерживаться от любых действий, высказываний или символики, которые могут быть истолкованы как выражение предпочтения какому-либо кандидату, партии или варианту волеизъявления.</w:t>
      </w:r>
      <w:r>
        <w:rPr>
          <w:rFonts w:ascii="Times New Roman" w:hAnsi="Times New Roman"/>
          <w:sz w:val="28"/>
          <w:szCs w:val="28"/>
        </w:rPr>
      </w:r>
    </w:p>
    <w:p>
      <w:pPr>
        <w:pStyle w:val="643"/>
        <w:numPr>
          <w:ilvl w:val="0"/>
          <w:numId w:val="2"/>
        </w:numPr>
        <w:contextualSpacing w:val="0"/>
        <w:ind w:left="0"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Обеспечивать гласность и открытость наблюдения, предоставлять объективную информацию о ходе голосования и подсч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та голосов</w:t>
      </w:r>
      <w:r>
        <w:rPr>
          <w:rFonts w:ascii="Times New Roman" w:hAnsi="Times New Roman"/>
          <w:sz w:val="28"/>
          <w:szCs w:val="28"/>
        </w:rPr>
        <w:t xml:space="preserve">, давать </w:t>
      </w:r>
      <w:r>
        <w:rPr>
          <w:rFonts w:ascii="Times New Roman" w:hAnsi="Times New Roman"/>
          <w:sz w:val="28"/>
          <w:szCs w:val="28"/>
        </w:rPr>
        <w:t xml:space="preserve">оценку проведения выборов/референдумов</w:t>
      </w:r>
      <w:r>
        <w:rPr>
          <w:rFonts w:ascii="Times New Roman" w:hAnsi="Times New Roman"/>
          <w:sz w:val="28"/>
          <w:szCs w:val="28"/>
        </w:rPr>
        <w:t xml:space="preserve"> только после официального установления итогов, если иное не предусмотрено законом.</w:t>
      </w:r>
      <w:r>
        <w:rPr>
          <w:rFonts w:ascii="Times New Roman" w:hAnsi="Times New Roman"/>
          <w:sz w:val="28"/>
          <w:szCs w:val="28"/>
        </w:rPr>
      </w:r>
    </w:p>
    <w:p>
      <w:pPr>
        <w:pStyle w:val="643"/>
        <w:numPr>
          <w:ilvl w:val="0"/>
          <w:numId w:val="2"/>
        </w:numPr>
        <w:contextualSpacing w:val="0"/>
        <w:ind w:left="0"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Основывать свои выводы исключительно на достоверных, проверенных фактах, не использовать непроверенные или заведомо ложные сведения, не распространять их в СМИ и социальных сетях.</w:t>
      </w:r>
      <w:r>
        <w:rPr>
          <w:rFonts w:ascii="Times New Roman" w:hAnsi="Times New Roman"/>
          <w:sz w:val="28"/>
          <w:szCs w:val="28"/>
        </w:rPr>
      </w:r>
    </w:p>
    <w:p>
      <w:pPr>
        <w:pStyle w:val="643"/>
        <w:numPr>
          <w:ilvl w:val="0"/>
          <w:numId w:val="2"/>
        </w:numPr>
        <w:contextualSpacing w:val="0"/>
        <w:ind w:left="0"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оценке выборов/референдум</w:t>
      </w:r>
      <w:r>
        <w:rPr>
          <w:rFonts w:ascii="Times New Roman" w:hAnsi="Times New Roman"/>
          <w:sz w:val="28"/>
          <w:szCs w:val="28"/>
        </w:rPr>
        <w:t xml:space="preserve">ов</w:t>
      </w:r>
      <w:r>
        <w:rPr>
          <w:rFonts w:ascii="Times New Roman" w:hAnsi="Times New Roman"/>
          <w:sz w:val="28"/>
          <w:szCs w:val="28"/>
        </w:rPr>
        <w:t xml:space="preserve"> исходить из анализа всей совокупности данных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43"/>
        <w:numPr>
          <w:ilvl w:val="0"/>
          <w:numId w:val="2"/>
        </w:numPr>
        <w:contextualSpacing w:val="0"/>
        <w:ind w:left="0"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Уважать государственные символы Российской Федерации, а также официальные символы субъектов Р</w:t>
      </w:r>
      <w:r>
        <w:rPr>
          <w:rFonts w:ascii="Times New Roman" w:hAnsi="Times New Roman"/>
          <w:sz w:val="28"/>
          <w:szCs w:val="28"/>
        </w:rPr>
        <w:t xml:space="preserve">оссийской </w:t>
      </w:r>
      <w:r>
        <w:rPr>
          <w:rFonts w:ascii="Times New Roman" w:hAnsi="Times New Roman"/>
          <w:sz w:val="28"/>
          <w:szCs w:val="28"/>
        </w:rPr>
        <w:t xml:space="preserve">Ф</w:t>
      </w:r>
      <w:r>
        <w:rPr>
          <w:rFonts w:ascii="Times New Roman" w:hAnsi="Times New Roman"/>
          <w:sz w:val="28"/>
          <w:szCs w:val="28"/>
        </w:rPr>
        <w:t xml:space="preserve">едерации</w:t>
      </w:r>
      <w:r>
        <w:rPr>
          <w:rFonts w:ascii="Times New Roman" w:hAnsi="Times New Roman"/>
          <w:sz w:val="28"/>
          <w:szCs w:val="28"/>
        </w:rPr>
        <w:t xml:space="preserve"> и муниципальных образований.</w:t>
      </w:r>
      <w:r>
        <w:rPr>
          <w:rFonts w:ascii="Times New Roman" w:hAnsi="Times New Roman"/>
          <w:sz w:val="28"/>
          <w:szCs w:val="28"/>
        </w:rPr>
      </w:r>
    </w:p>
    <w:p>
      <w:pPr>
        <w:pStyle w:val="643"/>
        <w:numPr>
          <w:ilvl w:val="0"/>
          <w:numId w:val="2"/>
        </w:numPr>
        <w:contextualSpacing w:val="0"/>
        <w:ind w:left="0"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Быть честным, добросовестным и объективным, уважать права и законные интересы всех участников избирательного процесса</w:t>
      </w:r>
      <w:r>
        <w:rPr>
          <w:rFonts w:ascii="Times New Roman" w:hAnsi="Times New Roman"/>
          <w:sz w:val="28"/>
          <w:szCs w:val="28"/>
        </w:rPr>
        <w:t xml:space="preserve">, соблюдать этику делового общения, вести себя вежливо и корректно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43"/>
        <w:numPr>
          <w:ilvl w:val="0"/>
          <w:numId w:val="2"/>
        </w:numPr>
        <w:contextualSpacing w:val="0"/>
        <w:ind w:left="0"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Категорически воздерживаться от любых высказываний, действий или распространения материалов, которые могут быть истолкованы как разжигание межнациональной, межрелигиозной, межрасовой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социальной</w:t>
      </w:r>
      <w:r>
        <w:rPr>
          <w:rFonts w:ascii="Times New Roman" w:hAnsi="Times New Roman"/>
          <w:sz w:val="28"/>
          <w:szCs w:val="28"/>
        </w:rPr>
        <w:t xml:space="preserve"> или политической</w:t>
      </w:r>
      <w:r>
        <w:rPr>
          <w:rFonts w:ascii="Times New Roman" w:hAnsi="Times New Roman"/>
          <w:sz w:val="28"/>
          <w:szCs w:val="28"/>
        </w:rPr>
        <w:t xml:space="preserve"> розни, унижение национального достоинства, пропаганда исключительности, превосходства или неполноценности граждан по признаку их отношения к религии, национальности, расе, языку</w:t>
      </w:r>
      <w:r>
        <w:rPr>
          <w:rFonts w:ascii="Times New Roman" w:hAnsi="Times New Roman"/>
          <w:sz w:val="28"/>
          <w:szCs w:val="28"/>
        </w:rPr>
        <w:t xml:space="preserve">, партийной принадлежности</w:t>
      </w:r>
      <w:r>
        <w:rPr>
          <w:rFonts w:ascii="Times New Roman" w:hAnsi="Times New Roman"/>
          <w:sz w:val="28"/>
          <w:szCs w:val="28"/>
        </w:rPr>
        <w:t xml:space="preserve"> или происхождению. Наблюдатель обязан пресекать подобные проявления со стороны других участников процесса в пределах своих полномочий и информировать о них избирательную комиссию.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43"/>
        <w:numPr>
          <w:ilvl w:val="0"/>
          <w:numId w:val="2"/>
        </w:numPr>
        <w:contextualSpacing w:val="0"/>
        <w:ind w:left="0"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Содействовать информированию граждан о порядке голосования, разъяснять их права, но без агитации и давления на волеизъявление.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43"/>
        <w:numPr>
          <w:ilvl w:val="0"/>
          <w:numId w:val="2"/>
        </w:numPr>
        <w:contextualSpacing w:val="0"/>
        <w:ind w:left="0" w:firstLine="709"/>
        <w:jc w:val="both"/>
        <w:spacing w:after="0" w:line="276" w:lineRule="auto"/>
      </w:pPr>
      <w:r>
        <w:rPr>
          <w:rFonts w:ascii="Times New Roman" w:hAnsi="Times New Roman"/>
          <w:sz w:val="28"/>
          <w:szCs w:val="28"/>
        </w:rPr>
        <w:t xml:space="preserve">Повышать авторитет Общественной палаты Российской Федерации и общественных палат субъектов Российской Федерации своими действиями, высказываниями и внешним видом.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643"/>
        <w:numPr>
          <w:ilvl w:val="0"/>
          <w:numId w:val="2"/>
        </w:numPr>
        <w:contextualSpacing w:val="0"/>
        <w:ind w:left="0"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Постоянно повышать свою правовую грамотность, знать основные нормы избирательного законодательства и практику их применения.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43"/>
        <w:numPr>
          <w:ilvl w:val="0"/>
          <w:numId w:val="2"/>
        </w:numPr>
        <w:contextualSpacing w:val="0"/>
        <w:ind w:left="0"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Иметь при себе направление наблюдателя и предъявлять его по первому требованию членов избирательной комиссии или других уполномоченных лиц.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43"/>
        <w:numPr>
          <w:ilvl w:val="0"/>
          <w:numId w:val="2"/>
        </w:numPr>
        <w:contextualSpacing w:val="0"/>
        <w:ind w:left="0"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 препятствовать работе избирательной комиссии, выполнять законные распоряжения председателя участковой комиссии, касающиеся порядка работы на участке.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43"/>
        <w:numPr>
          <w:ilvl w:val="0"/>
          <w:numId w:val="2"/>
        </w:numPr>
        <w:contextualSpacing w:val="0"/>
        <w:ind w:left="0"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Вести наблюдение, не вмешиваясь в процедуру подсч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та голосов, но имея право знакомиться с протоколами и вносить особые мнения в установленном порядке.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43"/>
        <w:numPr>
          <w:ilvl w:val="0"/>
          <w:numId w:val="2"/>
        </w:numPr>
        <w:contextualSpacing w:val="0"/>
        <w:ind w:left="0"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выявлении признаков нарушений незамедлительно сообщать об этом в </w:t>
      </w:r>
      <w:r>
        <w:rPr>
          <w:rFonts w:ascii="Times New Roman" w:hAnsi="Times New Roman"/>
          <w:sz w:val="28"/>
          <w:szCs w:val="28"/>
        </w:rPr>
        <w:t xml:space="preserve">Общественную палату </w:t>
      </w:r>
      <w:r>
        <w:rPr>
          <w:rFonts w:ascii="Times New Roman" w:hAnsi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ш</w:t>
      </w:r>
      <w:r>
        <w:rPr>
          <w:rFonts w:ascii="Times New Roman" w:hAnsi="Times New Roman"/>
          <w:sz w:val="28"/>
          <w:szCs w:val="28"/>
        </w:rPr>
        <w:t xml:space="preserve">таб </w:t>
      </w:r>
      <w:r>
        <w:rPr>
          <w:rFonts w:ascii="Times New Roman" w:hAnsi="Times New Roman"/>
          <w:sz w:val="28"/>
          <w:szCs w:val="28"/>
        </w:rPr>
        <w:t xml:space="preserve">общественного наблюдения.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43"/>
        <w:numPr>
          <w:ilvl w:val="0"/>
          <w:numId w:val="2"/>
        </w:numPr>
        <w:contextualSpacing w:val="0"/>
        <w:ind w:left="0"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 использовать </w:t>
      </w:r>
      <w:r>
        <w:rPr>
          <w:rFonts w:ascii="Times New Roman" w:hAnsi="Times New Roman"/>
          <w:sz w:val="28"/>
          <w:szCs w:val="28"/>
        </w:rPr>
        <w:t xml:space="preserve">сво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положение для оказания влияния на членов комиссий, кандидатов или избирателей в личных, корпоративных или иных неправомерных целях.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43"/>
        <w:numPr>
          <w:ilvl w:val="0"/>
          <w:numId w:val="2"/>
        </w:numPr>
        <w:contextualSpacing w:val="0"/>
        <w:ind w:left="0"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Воздерживаться от публичных высказываний, оценок и комментариев, которые могут быть расценены как подрыв доверия к избирательной системе.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43"/>
        <w:numPr>
          <w:ilvl w:val="0"/>
          <w:numId w:val="2"/>
        </w:numPr>
        <w:contextualSpacing w:val="0"/>
        <w:ind w:left="0"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 допускать конфликта интересов, уведомлять Общественную палату </w:t>
      </w:r>
      <w:r>
        <w:rPr>
          <w:rFonts w:ascii="Times New Roman" w:hAnsi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/>
          <w:sz w:val="28"/>
          <w:szCs w:val="28"/>
        </w:rPr>
        <w:t xml:space="preserve">о наличии </w:t>
      </w:r>
      <w:r>
        <w:rPr>
          <w:rFonts w:ascii="Times New Roman" w:hAnsi="Times New Roman"/>
          <w:sz w:val="28"/>
          <w:szCs w:val="28"/>
        </w:rPr>
        <w:t xml:space="preserve">конфликта интересов и иных обстоятельств</w:t>
      </w:r>
      <w:r>
        <w:rPr>
          <w:rFonts w:ascii="Times New Roman" w:hAnsi="Times New Roman"/>
          <w:sz w:val="28"/>
          <w:szCs w:val="28"/>
        </w:rPr>
        <w:t xml:space="preserve">, препятствующих беспристрастному наблюдению.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jc w:val="center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ОТВЕТСТВЕННОСТЬ ЗА НАРУШЕНИЕ КОДЕКСА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39"/>
        <w:ind w:firstLine="70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Статья 5.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Нарушением Кодекса призна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тся подтвержд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нное невыполнение или ненадлежащее выполнение наблюдателем этических норм, установленных настоящим Кодексом.</w:t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Статья 6.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</w:t>
      </w:r>
      <w:r>
        <w:rPr>
          <w:rFonts w:ascii="Times New Roman" w:hAnsi="Times New Roman"/>
          <w:sz w:val="28"/>
          <w:szCs w:val="28"/>
        </w:rPr>
        <w:t xml:space="preserve">грубом </w:t>
      </w:r>
      <w:r>
        <w:rPr>
          <w:rFonts w:ascii="Times New Roman" w:hAnsi="Times New Roman"/>
          <w:sz w:val="28"/>
          <w:szCs w:val="28"/>
        </w:rPr>
        <w:t xml:space="preserve">нарушении настоящего Кодекса наблюдатель может быть досрочно отозван Общественной палатой</w:t>
      </w:r>
      <w:r>
        <w:rPr>
          <w:rFonts w:ascii="Times New Roman" w:hAnsi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/>
          <w:b/>
          <w:sz w:val="28"/>
          <w:szCs w:val="28"/>
        </w:rPr>
        <w:t xml:space="preserve">7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 грубым нарушением понимается действие (бездействие) наблюдателя, повл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кшее существенный ущерб целям общественного контроля или дискредитацию института наблюдения. К таким нарушениям, в частности, относятся:</w:t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сокрытие факта наличия гражданства (подданства) иностранного государства или вида на жительство;</w:t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сокрытие членства в политической партии или участия в избирательной кампании как доверенного лица;</w:t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проведение агитации в день голосования, включая использование атрибутики кандидатов;</w:t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публичное объявление недостоверных результатов голосования до официального подведения итогов;</w:t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сознательное внесение ложных сведений в протокол наблюдения;</w:t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вмешательство в работу избирательной комиссии, воспрепятствование </w:t>
      </w:r>
      <w:r>
        <w:rPr>
          <w:rFonts w:ascii="Times New Roman" w:hAnsi="Times New Roman"/>
          <w:sz w:val="28"/>
          <w:szCs w:val="28"/>
        </w:rPr>
        <w:t xml:space="preserve">подсч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ту </w:t>
      </w:r>
      <w:r>
        <w:rPr>
          <w:rFonts w:ascii="Times New Roman" w:hAnsi="Times New Roman"/>
          <w:sz w:val="28"/>
          <w:szCs w:val="28"/>
        </w:rPr>
        <w:t xml:space="preserve">голосов;</w:t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распространение в СМИ или </w:t>
      </w:r>
      <w:r>
        <w:rPr>
          <w:rFonts w:ascii="Times New Roman" w:hAnsi="Times New Roman"/>
          <w:sz w:val="28"/>
          <w:szCs w:val="28"/>
        </w:rPr>
        <w:t xml:space="preserve">«И</w:t>
      </w:r>
      <w:r>
        <w:rPr>
          <w:rFonts w:ascii="Times New Roman" w:hAnsi="Times New Roman"/>
          <w:sz w:val="28"/>
          <w:szCs w:val="28"/>
        </w:rPr>
        <w:t xml:space="preserve">нтернете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 заведомо клеветнической информации о деятельности комиссий или кандидатов;</w:t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публичные высказывания,</w:t>
      </w:r>
      <w:r>
        <w:rPr>
          <w:rFonts w:ascii="Times New Roman" w:hAnsi="Times New Roman"/>
          <w:sz w:val="28"/>
          <w:szCs w:val="28"/>
        </w:rPr>
        <w:t xml:space="preserve"> действия или распространение материалов, направленных на возбуждение межнациональной, межрелигиозной или социальной розни, унижение национального достоинства, а также отказ от пресечения подобных проявлений, когда наблюдатель имел возможность это сделать;</w:t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самовольное покидание избирательного участка в течение времени голосования и по</w:t>
      </w:r>
      <w:r>
        <w:rPr>
          <w:rFonts w:ascii="Times New Roman" w:hAnsi="Times New Roman"/>
          <w:sz w:val="28"/>
          <w:szCs w:val="28"/>
        </w:rPr>
        <w:t xml:space="preserve">дсч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та</w:t>
      </w:r>
      <w:r>
        <w:rPr>
          <w:rFonts w:ascii="Times New Roman" w:hAnsi="Times New Roman"/>
          <w:sz w:val="28"/>
          <w:szCs w:val="28"/>
        </w:rPr>
        <w:t xml:space="preserve"> голосов</w:t>
      </w:r>
      <w:r>
        <w:rPr>
          <w:rFonts w:ascii="Times New Roman" w:hAnsi="Times New Roman"/>
          <w:sz w:val="28"/>
          <w:szCs w:val="28"/>
        </w:rPr>
        <w:t xml:space="preserve"> без уважительной причины;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отказ предъявить </w:t>
      </w:r>
      <w:r>
        <w:rPr>
          <w:rFonts w:ascii="Times New Roman" w:hAnsi="Times New Roman"/>
          <w:sz w:val="28"/>
          <w:szCs w:val="28"/>
        </w:rPr>
        <w:t xml:space="preserve">направление</w:t>
      </w:r>
      <w:r>
        <w:rPr>
          <w:rFonts w:ascii="Times New Roman" w:hAnsi="Times New Roman"/>
          <w:sz w:val="28"/>
          <w:szCs w:val="28"/>
        </w:rPr>
        <w:t xml:space="preserve"> или иной документ, подтверждающий полномочия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jc w:val="center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 ЗАКЛЮЧИТЕЛЬНЫЕ ПОЛОЖЕНИЯ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39"/>
        <w:jc w:val="center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/>
          <w:b/>
          <w:sz w:val="28"/>
          <w:szCs w:val="28"/>
        </w:rPr>
        <w:t xml:space="preserve">8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Действие настоящего Кодекса распространяется на всех общественных наблюдателей, направленных Общественной палатой Российской Федерации.</w:t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/>
          <w:b/>
          <w:sz w:val="28"/>
          <w:szCs w:val="28"/>
        </w:rPr>
        <w:t xml:space="preserve">9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Настоящий Кодекс вступает в силу со дня его принятия 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z w:val="28"/>
          <w:szCs w:val="28"/>
        </w:rPr>
        <w:t xml:space="preserve">овет</w:t>
      </w:r>
      <w:r>
        <w:rPr>
          <w:rFonts w:ascii="Times New Roman" w:hAnsi="Times New Roman"/>
          <w:sz w:val="28"/>
          <w:szCs w:val="28"/>
        </w:rPr>
        <w:t xml:space="preserve">ом</w:t>
      </w:r>
      <w:r>
        <w:rPr>
          <w:rFonts w:ascii="Times New Roman" w:hAnsi="Times New Roman"/>
          <w:sz w:val="28"/>
          <w:szCs w:val="28"/>
        </w:rPr>
        <w:t xml:space="preserve"> Общественной палаты Российской Федерации.</w:t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Статья 1</w:t>
      </w:r>
      <w:r>
        <w:rPr>
          <w:rFonts w:ascii="Times New Roman" w:hAnsi="Times New Roman"/>
          <w:b/>
          <w:sz w:val="28"/>
          <w:szCs w:val="28"/>
        </w:rPr>
        <w:t xml:space="preserve">0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39"/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Изменения в Кодекс вносятся по решению 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z w:val="28"/>
          <w:szCs w:val="28"/>
        </w:rPr>
        <w:t xml:space="preserve">овета </w:t>
      </w:r>
      <w:r>
        <w:rPr>
          <w:rFonts w:ascii="Times New Roman" w:hAnsi="Times New Roman"/>
          <w:sz w:val="28"/>
          <w:szCs w:val="28"/>
        </w:rPr>
        <w:t xml:space="preserve">Общественной палаты</w:t>
      </w:r>
      <w:r>
        <w:rPr>
          <w:rFonts w:ascii="Times New Roman" w:hAnsi="Times New Roman"/>
          <w:sz w:val="28"/>
          <w:szCs w:val="28"/>
        </w:rPr>
        <w:t xml:space="preserve"> Российской Федерации </w:t>
      </w:r>
      <w:r>
        <w:rPr>
          <w:rFonts w:ascii="Times New Roman" w:hAnsi="Times New Roman"/>
          <w:sz w:val="28"/>
          <w:szCs w:val="28"/>
        </w:rPr>
        <w:t xml:space="preserve">и вступают в силу с даты принятия, если иной срок не указан в самом решении.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ind w:firstLine="70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680" w:bottom="1134" w:left="1418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45"/>
      <w:jc w:val="center"/>
      <w:spacing w:after="0" w:line="240" w:lineRule="auto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2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</w:r>
    <w:r>
      <w:rPr>
        <w:rFonts w:ascii="Times New Roman" w:hAnsi="Times New Roman"/>
      </w:rPr>
    </w:r>
  </w:p>
  <w:p>
    <w:pPr>
      <w:pStyle w:val="645"/>
      <w:spacing w:after="0" w:line="240" w:lineRule="auto"/>
      <w:rPr>
        <w:rFonts w:ascii="Times New Roman" w:hAnsi="Times New Roman"/>
      </w:rPr>
    </w:pPr>
    <w:r>
      <w:rPr>
        <w:rFonts w:ascii="Times New Roman" w:hAnsi="Times New Roman"/>
      </w:rPr>
    </w:r>
    <w:r>
      <w:rPr>
        <w:rFonts w:ascii="Times New Roman" w:hAnsi="Times New Roman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39"/>
    <w:next w:val="63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39"/>
    <w:next w:val="63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39"/>
    <w:next w:val="63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39"/>
    <w:next w:val="63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39"/>
    <w:next w:val="63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39"/>
    <w:next w:val="63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39"/>
    <w:next w:val="63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39"/>
    <w:next w:val="63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39"/>
    <w:next w:val="63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39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39"/>
    <w:next w:val="63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39"/>
    <w:next w:val="63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39"/>
    <w:next w:val="63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39"/>
    <w:next w:val="63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3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39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39"/>
    <w:next w:val="639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3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3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39"/>
    <w:next w:val="63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39"/>
    <w:next w:val="63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39"/>
    <w:next w:val="63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39"/>
    <w:next w:val="63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39"/>
    <w:next w:val="63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39"/>
    <w:next w:val="63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39"/>
    <w:next w:val="63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39"/>
    <w:next w:val="63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39"/>
    <w:next w:val="63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39"/>
    <w:next w:val="639"/>
    <w:uiPriority w:val="99"/>
    <w:unhideWhenUsed/>
    <w:pPr>
      <w:spacing w:after="0" w:afterAutospacing="0"/>
    </w:pPr>
  </w:style>
  <w:style w:type="paragraph" w:styleId="639" w:default="1">
    <w:name w:val="Normal"/>
    <w:next w:val="639"/>
    <w:link w:val="639"/>
    <w:qFormat/>
    <w:pPr>
      <w:spacing w:after="160" w:line="259" w:lineRule="auto"/>
    </w:pPr>
    <w:rPr>
      <w:sz w:val="22"/>
      <w:szCs w:val="22"/>
      <w:lang w:val="ru-RU" w:eastAsia="en-US" w:bidi="ar-SA"/>
    </w:rPr>
  </w:style>
  <w:style w:type="character" w:styleId="640">
    <w:name w:val="Основной шрифт абзаца"/>
    <w:next w:val="640"/>
    <w:link w:val="639"/>
    <w:uiPriority w:val="1"/>
    <w:semiHidden/>
    <w:unhideWhenUsed/>
  </w:style>
  <w:style w:type="table" w:styleId="641">
    <w:name w:val="Обычная таблица"/>
    <w:next w:val="641"/>
    <w:link w:val="639"/>
    <w:uiPriority w:val="99"/>
    <w:semiHidden/>
    <w:unhideWhenUsed/>
    <w:tblPr/>
  </w:style>
  <w:style w:type="numbering" w:styleId="642">
    <w:name w:val="Нет списка"/>
    <w:next w:val="642"/>
    <w:link w:val="639"/>
    <w:uiPriority w:val="99"/>
    <w:semiHidden/>
    <w:unhideWhenUsed/>
  </w:style>
  <w:style w:type="paragraph" w:styleId="643">
    <w:name w:val="Абзац списка"/>
    <w:basedOn w:val="639"/>
    <w:next w:val="643"/>
    <w:link w:val="639"/>
    <w:uiPriority w:val="34"/>
    <w:qFormat/>
    <w:pPr>
      <w:contextualSpacing/>
      <w:ind w:left="720"/>
    </w:pPr>
  </w:style>
  <w:style w:type="table" w:styleId="644">
    <w:name w:val="Сетка таблицы"/>
    <w:basedOn w:val="641"/>
    <w:next w:val="644"/>
    <w:link w:val="639"/>
    <w:uiPriority w:val="39"/>
    <w:pPr>
      <w:spacing w:after="0" w:line="240" w:lineRule="auto"/>
    </w:pPr>
    <w:tblPr/>
  </w:style>
  <w:style w:type="paragraph" w:styleId="645">
    <w:name w:val="Верхний колонтитул"/>
    <w:basedOn w:val="639"/>
    <w:next w:val="645"/>
    <w:link w:val="64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46">
    <w:name w:val="Верхний колонтитул Знак"/>
    <w:next w:val="646"/>
    <w:link w:val="645"/>
    <w:uiPriority w:val="99"/>
    <w:rPr>
      <w:sz w:val="22"/>
      <w:szCs w:val="22"/>
      <w:lang w:eastAsia="en-US"/>
    </w:rPr>
  </w:style>
  <w:style w:type="paragraph" w:styleId="647">
    <w:name w:val="Нижний колонтитул"/>
    <w:basedOn w:val="639"/>
    <w:next w:val="647"/>
    <w:link w:val="64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48">
    <w:name w:val="Нижний колонтитул Знак"/>
    <w:next w:val="648"/>
    <w:link w:val="647"/>
    <w:uiPriority w:val="99"/>
    <w:rPr>
      <w:sz w:val="22"/>
      <w:szCs w:val="22"/>
      <w:lang w:eastAsia="en-US"/>
    </w:rPr>
  </w:style>
  <w:style w:type="paragraph" w:styleId="649">
    <w:name w:val="Текст выноски"/>
    <w:basedOn w:val="639"/>
    <w:next w:val="649"/>
    <w:link w:val="65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50">
    <w:name w:val="Текст выноски Знак"/>
    <w:next w:val="650"/>
    <w:link w:val="649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styleId="1036" w:default="1">
    <w:name w:val="Default Paragraph Font"/>
    <w:uiPriority w:val="1"/>
    <w:semiHidden/>
    <w:unhideWhenUsed/>
  </w:style>
  <w:style w:type="numbering" w:styleId="1037" w:default="1">
    <w:name w:val="No List"/>
    <w:uiPriority w:val="99"/>
    <w:semiHidden/>
    <w:unhideWhenUsed/>
  </w:style>
  <w:style w:type="table" w:styleId="103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Ниточкин Фёдор Васильевич</dc:creator>
  <cp:lastModifiedBy>user05</cp:lastModifiedBy>
  <cp:revision>4</cp:revision>
  <dcterms:created xsi:type="dcterms:W3CDTF">2026-08-25T13:59:00Z</dcterms:created>
  <dcterms:modified xsi:type="dcterms:W3CDTF">2026-08-31T09:50:37Z</dcterms:modified>
  <cp:version>1048576</cp:version>
</cp:coreProperties>
</file>